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236C"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Group Strategic Plan for Laboratory Sciences</w:t>
      </w:r>
    </w:p>
    <w:p w14:paraId="0D7FA255"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The strategic plan of the Laboratory Sciences Group at the Faculty of Allied Medical Sciences includes a comprehensive assessment of the current situation, strategic planning processes, identification of goals and objectives, development of the group, recognition of financial resources, timelines, and effective communication and engagement with stakeholders.</w:t>
      </w:r>
    </w:p>
    <w:p w14:paraId="74833DEA"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Goals and Objectives</w:t>
      </w:r>
    </w:p>
    <w:p w14:paraId="69EB2C32"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The goals and objectives of the Laboratory Sciences Group are determined by assessing the current situation and consulting with stakeholders, including faculty members, students, and professionals. The objectives may include expanding capacity, improving educational outcomes, enhancing research collaborations, and strengthening partnerships with other laboratory sciences departments.</w:t>
      </w:r>
    </w:p>
    <w:p w14:paraId="7E0B7378"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Strategic Plan Development</w:t>
      </w:r>
    </w:p>
    <w:p w14:paraId="1859C5B9"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The strategic plan outlines specific actions required to achieve the identified objectives, taking into account available resources and current operational status. This plan is based on a comprehensive analysis of strengths and challenges, ensuring efficient and effective implementation. The initiatives may include enhancing educational programs, developing research projects, fostering industry collaborations, and maintaining faculty engagement.</w:t>
      </w:r>
    </w:p>
    <w:p w14:paraId="4702F8E3"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Identification of Financial Resources</w:t>
      </w:r>
    </w:p>
    <w:p w14:paraId="5812FC86"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The successful implementation of the strategic plan requires adequate financial resources. Budget planning, funding requests, and financial coordination are essential to ensure that allocated budgets align with the goals and objectives of the Laboratory Sciences Group.</w:t>
      </w:r>
    </w:p>
    <w:p w14:paraId="6B6E7545"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Establishing a Timeline</w:t>
      </w:r>
    </w:p>
    <w:p w14:paraId="0795DB0B"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A detailed timeline is established to define key milestones and achievements related to the strategic plan. The timeline ensures that progress is realistic, achievable, and continuously monitored and adjusted as needed. This approach guarantees that the Laboratory Sciences Group remains on track in achieving its strategic goals.</w:t>
      </w:r>
    </w:p>
    <w:p w14:paraId="1B00FBF5"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2</w:t>
      </w:r>
    </w:p>
    <w:p w14:paraId="0FCE9A02"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Monitoring and Evaluation</w:t>
      </w:r>
    </w:p>
    <w:p w14:paraId="03F6F474"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A systematic and continuous monitoring and evaluation process is crucial to measuring progress and success. This includes defining key performance indicators, conducting regular assessments, and making necessary adjustments to ensure alignment with the group’s objectives. Any concerns identified during evaluations are promptly addressed.</w:t>
      </w:r>
    </w:p>
    <w:p w14:paraId="340CC2AF"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Communication and Engagement</w:t>
      </w:r>
    </w:p>
    <w:p w14:paraId="6895846B"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lastRenderedPageBreak/>
        <w:t>Effective communication with stakeholders, including faculty members, students, and experts, is essential for the successful implementation of the strategic plan. Regular meetings, progress reports, and feedback sessions are conducted to ensure transparency and participation. The process also includes opportunities for education and research collaborations, ensuring continuous improvement based on stakeholder feedback.</w:t>
      </w:r>
    </w:p>
    <w:p w14:paraId="4B05FCB3"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By systematically assessing the current state of the Faculty of Medical Sciences, identifying resources, setting strategic objectives, and maintaining regular monitoring and engagement, the Laboratory Sciences Group ensures that its strategic initiatives contribute effectively to its mission and goals.</w:t>
      </w:r>
    </w:p>
    <w:p w14:paraId="3FBC3439" w14:textId="77777777" w:rsidR="00701198" w:rsidRPr="00701198" w:rsidRDefault="00701198" w:rsidP="00701198">
      <w:p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Strategic Actions:</w:t>
      </w:r>
    </w:p>
    <w:p w14:paraId="322C3657"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Improving educational activities in alignment with standards to enhance learning outcomes.</w:t>
      </w:r>
    </w:p>
    <w:p w14:paraId="652D73F5"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Increasing the use of approved educational methodologies, aiming for 20% adoption of modern teaching methods.</w:t>
      </w:r>
    </w:p>
    <w:p w14:paraId="1BC65B5E"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Evaluating internship programs and logbooks based on updated curricula.</w:t>
      </w:r>
    </w:p>
    <w:p w14:paraId="23ABE510"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Organizing practical workshops based on student needs and feedback.</w:t>
      </w:r>
    </w:p>
    <w:p w14:paraId="147F6E55"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Providing diagnostic services to the healthcare sector (both public and private) by conducting specialized tests.</w:t>
      </w:r>
    </w:p>
    <w:p w14:paraId="77B86C59"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Facilitating collaboration between industry and academia through research projects related to laboratory sciences.</w:t>
      </w:r>
    </w:p>
    <w:p w14:paraId="79217862"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Ensuring compliance with laboratory accreditation and quality assurance standards.</w:t>
      </w:r>
    </w:p>
    <w:p w14:paraId="141430BB" w14:textId="77777777" w:rsidR="00701198" w:rsidRPr="00701198" w:rsidRDefault="00701198" w:rsidP="007011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01198">
        <w:rPr>
          <w:rFonts w:ascii="Times New Roman" w:eastAsia="Times New Roman" w:hAnsi="Times New Roman" w:cs="Times New Roman"/>
          <w:kern w:val="0"/>
          <w14:ligatures w14:val="none"/>
        </w:rPr>
        <w:t>Enhancing the Laboratory Sciences Group's online platforms for better communication and accessibility.</w:t>
      </w:r>
    </w:p>
    <w:p w14:paraId="4AB8A3CE" w14:textId="77777777" w:rsidR="00AB400C" w:rsidRPr="00701198" w:rsidRDefault="00AB400C" w:rsidP="00701198"/>
    <w:sectPr w:rsidR="00AB400C" w:rsidRPr="0070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42D2"/>
    <w:multiLevelType w:val="multilevel"/>
    <w:tmpl w:val="8906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5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0C"/>
    <w:rsid w:val="00104DEF"/>
    <w:rsid w:val="00701198"/>
    <w:rsid w:val="00AB4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DC47"/>
  <w15:chartTrackingRefBased/>
  <w15:docId w15:val="{59195BC8-FF61-423C-83EE-E3F2FFDF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00C"/>
    <w:rPr>
      <w:rFonts w:eastAsiaTheme="majorEastAsia" w:cstheme="majorBidi"/>
      <w:color w:val="272727" w:themeColor="text1" w:themeTint="D8"/>
    </w:rPr>
  </w:style>
  <w:style w:type="paragraph" w:styleId="Title">
    <w:name w:val="Title"/>
    <w:basedOn w:val="Normal"/>
    <w:next w:val="Normal"/>
    <w:link w:val="TitleChar"/>
    <w:uiPriority w:val="10"/>
    <w:qFormat/>
    <w:rsid w:val="00AB4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00C"/>
    <w:pPr>
      <w:spacing w:before="160"/>
      <w:jc w:val="center"/>
    </w:pPr>
    <w:rPr>
      <w:i/>
      <w:iCs/>
      <w:color w:val="404040" w:themeColor="text1" w:themeTint="BF"/>
    </w:rPr>
  </w:style>
  <w:style w:type="character" w:customStyle="1" w:styleId="QuoteChar">
    <w:name w:val="Quote Char"/>
    <w:basedOn w:val="DefaultParagraphFont"/>
    <w:link w:val="Quote"/>
    <w:uiPriority w:val="29"/>
    <w:rsid w:val="00AB400C"/>
    <w:rPr>
      <w:i/>
      <w:iCs/>
      <w:color w:val="404040" w:themeColor="text1" w:themeTint="BF"/>
    </w:rPr>
  </w:style>
  <w:style w:type="paragraph" w:styleId="ListParagraph">
    <w:name w:val="List Paragraph"/>
    <w:basedOn w:val="Normal"/>
    <w:uiPriority w:val="34"/>
    <w:qFormat/>
    <w:rsid w:val="00AB400C"/>
    <w:pPr>
      <w:ind w:left="720"/>
      <w:contextualSpacing/>
    </w:pPr>
  </w:style>
  <w:style w:type="character" w:styleId="IntenseEmphasis">
    <w:name w:val="Intense Emphasis"/>
    <w:basedOn w:val="DefaultParagraphFont"/>
    <w:uiPriority w:val="21"/>
    <w:qFormat/>
    <w:rsid w:val="00AB400C"/>
    <w:rPr>
      <w:i/>
      <w:iCs/>
      <w:color w:val="2F5496" w:themeColor="accent1" w:themeShade="BF"/>
    </w:rPr>
  </w:style>
  <w:style w:type="paragraph" w:styleId="IntenseQuote">
    <w:name w:val="Intense Quote"/>
    <w:basedOn w:val="Normal"/>
    <w:next w:val="Normal"/>
    <w:link w:val="IntenseQuoteChar"/>
    <w:uiPriority w:val="30"/>
    <w:qFormat/>
    <w:rsid w:val="00AB4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00C"/>
    <w:rPr>
      <w:i/>
      <w:iCs/>
      <w:color w:val="2F5496" w:themeColor="accent1" w:themeShade="BF"/>
    </w:rPr>
  </w:style>
  <w:style w:type="character" w:styleId="IntenseReference">
    <w:name w:val="Intense Reference"/>
    <w:basedOn w:val="DefaultParagraphFont"/>
    <w:uiPriority w:val="32"/>
    <w:qFormat/>
    <w:rsid w:val="00AB400C"/>
    <w:rPr>
      <w:b/>
      <w:bCs/>
      <w:smallCaps/>
      <w:color w:val="2F5496" w:themeColor="accent1" w:themeShade="BF"/>
      <w:spacing w:val="5"/>
    </w:rPr>
  </w:style>
  <w:style w:type="paragraph" w:styleId="NormalWeb">
    <w:name w:val="Normal (Web)"/>
    <w:basedOn w:val="Normal"/>
    <w:uiPriority w:val="99"/>
    <w:semiHidden/>
    <w:unhideWhenUsed/>
    <w:rsid w:val="0070119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5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SabooR</dc:creator>
  <cp:keywords/>
  <dc:description/>
  <cp:lastModifiedBy>SabooR</cp:lastModifiedBy>
  <cp:revision>3</cp:revision>
  <dcterms:created xsi:type="dcterms:W3CDTF">2025-03-01T09:14:00Z</dcterms:created>
  <dcterms:modified xsi:type="dcterms:W3CDTF">2025-03-01T09:15:00Z</dcterms:modified>
</cp:coreProperties>
</file>